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0FF" w:rsidRPr="002935A5" w:rsidRDefault="009930FF" w:rsidP="009930FF">
      <w:pPr>
        <w:spacing w:after="2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>Table</w:t>
      </w:r>
      <w:r w:rsidRPr="002935A5">
        <w:rPr>
          <w:rFonts w:ascii="Times New Roman" w:eastAsia="宋体" w:hAnsi="Times New Roman" w:cs="Times New Roman"/>
          <w:b/>
          <w:sz w:val="22"/>
        </w:rPr>
        <w:t xml:space="preserve"> S</w:t>
      </w:r>
      <w:r w:rsidRPr="002935A5">
        <w:rPr>
          <w:rFonts w:ascii="Times New Roman" w:eastAsia="宋体" w:hAnsi="Times New Roman" w:cs="Times New Roman" w:hint="eastAsia"/>
          <w:b/>
          <w:sz w:val="22"/>
        </w:rPr>
        <w:t>5</w:t>
      </w:r>
      <w:r w:rsidRPr="002935A5">
        <w:rPr>
          <w:rFonts w:ascii="Times New Roman" w:eastAsia="宋体" w:hAnsi="Times New Roman" w:cs="Times New Roman"/>
          <w:sz w:val="22"/>
        </w:rPr>
        <w:t xml:space="preserve"> </w:t>
      </w:r>
      <w:bookmarkStart w:id="0" w:name="OLE_LINK396"/>
      <w:bookmarkStart w:id="1" w:name="OLE_LINK397"/>
      <w:bookmarkStart w:id="2" w:name="OLE_LINK398"/>
      <w:r w:rsidRPr="002935A5">
        <w:rPr>
          <w:rFonts w:ascii="Times New Roman" w:eastAsia="宋体" w:hAnsi="Times New Roman" w:cs="Times New Roman"/>
          <w:sz w:val="22"/>
        </w:rPr>
        <w:t>Candidate DEGs connected with phenotypic variations</w:t>
      </w:r>
      <w:bookmarkEnd w:id="0"/>
      <w:bookmarkEnd w:id="1"/>
      <w:bookmarkEnd w:id="2"/>
    </w:p>
    <w:tbl>
      <w:tblPr>
        <w:tblStyle w:val="3"/>
        <w:tblW w:w="5000" w:type="pct"/>
        <w:jc w:val="center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54"/>
        <w:gridCol w:w="4191"/>
        <w:gridCol w:w="2177"/>
      </w:tblGrid>
      <w:tr w:rsidR="009930FF" w:rsidRPr="002935A5" w:rsidTr="009C68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264" w:type="pct"/>
            <w:tcBorders>
              <w:bottom w:val="single" w:sz="4" w:space="0" w:color="auto"/>
            </w:tcBorders>
            <w:vAlign w:val="center"/>
          </w:tcPr>
          <w:p w:rsidR="009930FF" w:rsidRPr="002935A5" w:rsidRDefault="009930FF" w:rsidP="009C68D3">
            <w:pPr>
              <w:rPr>
                <w:color w:val="000000"/>
                <w:sz w:val="22"/>
                <w:szCs w:val="22"/>
              </w:rPr>
            </w:pPr>
            <w:r w:rsidRPr="002935A5">
              <w:rPr>
                <w:color w:val="000000"/>
                <w:sz w:val="22"/>
                <w:szCs w:val="22"/>
              </w:rPr>
              <w:t>Phenotype</w:t>
            </w:r>
          </w:p>
        </w:tc>
        <w:tc>
          <w:tcPr>
            <w:tcW w:w="2459" w:type="pct"/>
            <w:tcBorders>
              <w:bottom w:val="single" w:sz="4" w:space="0" w:color="auto"/>
            </w:tcBorders>
            <w:vAlign w:val="center"/>
          </w:tcPr>
          <w:p w:rsidR="009930FF" w:rsidRPr="002935A5" w:rsidRDefault="009930FF" w:rsidP="009C68D3">
            <w:pPr>
              <w:jc w:val="center"/>
              <w:rPr>
                <w:color w:val="000000"/>
                <w:sz w:val="22"/>
                <w:szCs w:val="22"/>
              </w:rPr>
            </w:pPr>
            <w:r w:rsidRPr="002935A5">
              <w:rPr>
                <w:color w:val="000000"/>
                <w:sz w:val="22"/>
                <w:szCs w:val="22"/>
              </w:rPr>
              <w:t>Positive association</w:t>
            </w:r>
          </w:p>
        </w:tc>
        <w:tc>
          <w:tcPr>
            <w:tcW w:w="1277" w:type="pct"/>
            <w:tcBorders>
              <w:bottom w:val="single" w:sz="4" w:space="0" w:color="auto"/>
            </w:tcBorders>
            <w:vAlign w:val="center"/>
          </w:tcPr>
          <w:p w:rsidR="009930FF" w:rsidRPr="002935A5" w:rsidRDefault="009930FF" w:rsidP="009C68D3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2935A5">
              <w:rPr>
                <w:color w:val="000000"/>
                <w:sz w:val="22"/>
                <w:szCs w:val="22"/>
              </w:rPr>
              <w:t>Negative association</w:t>
            </w: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tcBorders>
              <w:top w:val="single" w:sz="4" w:space="0" w:color="auto"/>
            </w:tcBorders>
            <w:vAlign w:val="center"/>
          </w:tcPr>
          <w:p w:rsidR="009930FF" w:rsidRPr="002935A5" w:rsidRDefault="009930FF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Fiber density</w:t>
            </w:r>
          </w:p>
        </w:tc>
        <w:tc>
          <w:tcPr>
            <w:tcW w:w="2459" w:type="pct"/>
            <w:tcBorders>
              <w:top w:val="single" w:sz="4" w:space="0" w:color="auto"/>
            </w:tcBorders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HDAC3*, MEF2C*, SMAD6</w:t>
            </w:r>
          </w:p>
        </w:tc>
        <w:tc>
          <w:tcPr>
            <w:tcW w:w="1277" w:type="pct"/>
            <w:tcBorders>
              <w:top w:val="single" w:sz="4" w:space="0" w:color="auto"/>
            </w:tcBorders>
            <w:vAlign w:val="center"/>
          </w:tcPr>
          <w:p w:rsidR="009930FF" w:rsidRPr="002935A5" w:rsidRDefault="009930FF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MYBPH* MYOZ3, MSTN</w:t>
            </w: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Myofibril density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SAMD6*, HDAC3*, EPAS1*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MRF4</w:t>
            </w: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bookmarkStart w:id="3" w:name="_Hlk533114302"/>
            <w:r w:rsidRPr="002935A5">
              <w:rPr>
                <w:bCs/>
                <w:color w:val="000000"/>
                <w:sz w:val="22"/>
                <w:szCs w:val="22"/>
              </w:rPr>
              <w:t>Capillary density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VEGFR2*,</w:t>
            </w:r>
            <w:r w:rsidRPr="002935A5"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VEGFR3*, TIE2*, DLL4*, NOTCH2, FGFR4*, ANGPT1, HEY2*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bookmarkEnd w:id="3"/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Capillary to fiber ratio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VEGFR4*, VEGFR2*, VEGFR3*, TIE2*, DLL4*, NOTCH2*, FGFR4*, ANGPT1, HEY2*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VEGFD*</w:t>
            </w: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Capillary area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VEGFR4*, VEGFR2*, VEGFR3*, TIE2, DLL4*, NOTCH2*, FGFR4, ANGPT1, HEY2, LAMA4*, FLVC1, SEMA3C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spacing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 xml:space="preserve">Proportion of </w:t>
            </w:r>
            <w:proofErr w:type="spellStart"/>
            <w:r w:rsidRPr="002935A5">
              <w:rPr>
                <w:bCs/>
                <w:sz w:val="22"/>
                <w:szCs w:val="22"/>
              </w:rPr>
              <w:t>subsarcolemmal</w:t>
            </w:r>
            <w:proofErr w:type="spellEnd"/>
            <w:r w:rsidRPr="002935A5">
              <w:rPr>
                <w:bCs/>
                <w:sz w:val="22"/>
                <w:szCs w:val="22"/>
              </w:rPr>
              <w:t xml:space="preserve"> mitochondrion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TRAK2*, PGC1α*, CLUH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spacing w:before="240"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>Total mitochondrial volume density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PGC1α, MIGA2*, MIGA1, MID51*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BNIP3*, WIPI2*, LC3, FUNDC1*, MUL1*</w:t>
            </w:r>
          </w:p>
        </w:tc>
      </w:tr>
      <w:tr w:rsidR="009930FF" w:rsidRPr="002935A5" w:rsidTr="009C68D3">
        <w:trPr>
          <w:jc w:val="center"/>
        </w:trPr>
        <w:tc>
          <w:tcPr>
            <w:tcW w:w="1264" w:type="pct"/>
            <w:vAlign w:val="center"/>
          </w:tcPr>
          <w:p w:rsidR="009930FF" w:rsidRPr="002935A5" w:rsidRDefault="009930FF" w:rsidP="009C68D3">
            <w:pPr>
              <w:spacing w:before="240"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>Volume density of lipid droplet</w:t>
            </w:r>
          </w:p>
        </w:tc>
        <w:tc>
          <w:tcPr>
            <w:tcW w:w="2459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DGAT2*, EPAS1*, LIPC*, PLA2G3*, CPT1a*</w:t>
            </w:r>
          </w:p>
        </w:tc>
        <w:tc>
          <w:tcPr>
            <w:tcW w:w="1277" w:type="pct"/>
            <w:vAlign w:val="center"/>
          </w:tcPr>
          <w:p w:rsidR="009930FF" w:rsidRPr="002935A5" w:rsidRDefault="009930FF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proofErr w:type="spellStart"/>
            <w:r w:rsidRPr="002935A5">
              <w:rPr>
                <w:bCs/>
                <w:i/>
                <w:color w:val="000000"/>
                <w:sz w:val="22"/>
                <w:szCs w:val="22"/>
              </w:rPr>
              <w:t>PPARδ</w:t>
            </w:r>
            <w:proofErr w:type="spellEnd"/>
          </w:p>
        </w:tc>
      </w:tr>
    </w:tbl>
    <w:p w:rsidR="00105D48" w:rsidRPr="009930FF" w:rsidRDefault="009930FF" w:rsidP="009930FF">
      <w:pPr>
        <w:tabs>
          <w:tab w:val="left" w:pos="3532"/>
        </w:tabs>
        <w:spacing w:after="240"/>
        <w:rPr>
          <w:rFonts w:ascii="Times New Roman" w:hAnsi="Times New Roman" w:cs="Times New Roman"/>
          <w:sz w:val="22"/>
        </w:rPr>
      </w:pPr>
      <w:r w:rsidRPr="002935A5">
        <w:rPr>
          <w:rFonts w:ascii="Times New Roman" w:hAnsi="Times New Roman" w:cs="Times New Roman"/>
          <w:sz w:val="22"/>
        </w:rPr>
        <w:t>*Association that remained signiﬁcant after Bonferroni correction for multiple comparisons</w:t>
      </w:r>
      <w:bookmarkStart w:id="4" w:name="_GoBack"/>
      <w:bookmarkEnd w:id="4"/>
    </w:p>
    <w:sectPr w:rsidR="00105D48" w:rsidRPr="00993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A6B"/>
    <w:rsid w:val="00105D48"/>
    <w:rsid w:val="00183A6B"/>
    <w:rsid w:val="0099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List 3"/>
    <w:basedOn w:val="a1"/>
    <w:qFormat/>
    <w:rsid w:val="009930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List 3"/>
    <w:basedOn w:val="a1"/>
    <w:qFormat/>
    <w:rsid w:val="009930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>Users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2020-01-06T12:57:00Z</dcterms:created>
  <dcterms:modified xsi:type="dcterms:W3CDTF">2020-01-06T12:57:00Z</dcterms:modified>
</cp:coreProperties>
</file>